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A2" w:rsidRPr="00F34287" w:rsidRDefault="004957BF" w:rsidP="00F34287">
      <w:pPr>
        <w:jc w:val="center"/>
        <w:rPr>
          <w:b/>
          <w:sz w:val="28"/>
          <w:szCs w:val="28"/>
        </w:rPr>
      </w:pPr>
      <w:r>
        <w:rPr>
          <w:b/>
        </w:rPr>
        <w:t>Perkins Grant Fiscal Requirements</w:t>
      </w:r>
    </w:p>
    <w:p w:rsidR="00FF19A2" w:rsidRDefault="00FF19A2" w:rsidP="00FF19A2">
      <w:pPr>
        <w:jc w:val="center"/>
        <w:rPr>
          <w:b/>
        </w:rPr>
      </w:pPr>
    </w:p>
    <w:p w:rsidR="00FF19A2" w:rsidRDefault="00FF19A2" w:rsidP="00FF19A2">
      <w:pPr>
        <w:jc w:val="center"/>
        <w:rPr>
          <w:b/>
        </w:rPr>
      </w:pPr>
      <w:r>
        <w:rPr>
          <w:b/>
        </w:rPr>
        <w:t>Perkins Act of 2006</w:t>
      </w:r>
    </w:p>
    <w:p w:rsidR="00B477FE" w:rsidRDefault="00B477FE" w:rsidP="00FF19A2">
      <w:pPr>
        <w:jc w:val="center"/>
        <w:rPr>
          <w:b/>
        </w:rPr>
      </w:pPr>
    </w:p>
    <w:p w:rsidR="00B477FE" w:rsidRDefault="00B477FE" w:rsidP="00FF19A2">
      <w:pPr>
        <w:jc w:val="center"/>
        <w:rPr>
          <w:b/>
        </w:rPr>
      </w:pPr>
      <w:r>
        <w:rPr>
          <w:b/>
        </w:rPr>
        <w:t>FY 20</w:t>
      </w:r>
      <w:r w:rsidR="00F34287">
        <w:rPr>
          <w:b/>
        </w:rPr>
        <w:t>1</w:t>
      </w:r>
      <w:r w:rsidR="008C7E5D">
        <w:rPr>
          <w:b/>
        </w:rPr>
        <w:t>8</w:t>
      </w:r>
    </w:p>
    <w:p w:rsidR="00FF19A2" w:rsidRDefault="00FF19A2" w:rsidP="00FF19A2">
      <w:pPr>
        <w:jc w:val="center"/>
        <w:rPr>
          <w:b/>
        </w:rPr>
      </w:pPr>
    </w:p>
    <w:p w:rsidR="00FF19A2" w:rsidRPr="004C2588" w:rsidRDefault="00FF19A2" w:rsidP="00FF19A2">
      <w:pPr>
        <w:numPr>
          <w:ilvl w:val="0"/>
          <w:numId w:val="1"/>
        </w:numPr>
      </w:pPr>
      <w:r w:rsidRPr="004C2588">
        <w:t>Career technical education funds are used to supplement rather than supplant state and local funds.</w:t>
      </w:r>
      <w:r w:rsidR="005004D2" w:rsidRPr="004C2588">
        <w:t xml:space="preserve">  Federal funds may not be used for expenditures previously paid out of state/local funds.</w:t>
      </w:r>
    </w:p>
    <w:p w:rsidR="00FF19A2" w:rsidRPr="004C2588" w:rsidRDefault="00B477FE" w:rsidP="00FF19A2">
      <w:pPr>
        <w:numPr>
          <w:ilvl w:val="0"/>
          <w:numId w:val="1"/>
        </w:numPr>
      </w:pPr>
      <w:r w:rsidRPr="004C2588">
        <w:t>No more than 5% of the grant may be used for administrative expenditures.  At least 95% of the grant must be spent on activities that are directly working with students or curricular development.</w:t>
      </w:r>
    </w:p>
    <w:p w:rsidR="00B477FE" w:rsidRDefault="00B477FE" w:rsidP="00B477FE">
      <w:pPr>
        <w:numPr>
          <w:ilvl w:val="0"/>
          <w:numId w:val="1"/>
        </w:numPr>
      </w:pPr>
      <w:r w:rsidRPr="004C2588">
        <w:t xml:space="preserve">All budget items must directly relate to a </w:t>
      </w:r>
      <w:r w:rsidR="00824F36">
        <w:t xml:space="preserve">required or allowable use of funds, as well as </w:t>
      </w:r>
      <w:r w:rsidR="00CE0F27">
        <w:t>the</w:t>
      </w:r>
      <w:r w:rsidR="00824F36">
        <w:t xml:space="preserve"> college’s five-year Perkins plan</w:t>
      </w:r>
      <w:r w:rsidR="00CE0F27">
        <w:t>, and be for occupationally-specific programs.</w:t>
      </w:r>
    </w:p>
    <w:p w:rsidR="00177CF4" w:rsidRPr="004C2588" w:rsidRDefault="00177CF4" w:rsidP="00B477FE">
      <w:pPr>
        <w:numPr>
          <w:ilvl w:val="0"/>
          <w:numId w:val="1"/>
        </w:numPr>
      </w:pPr>
      <w:r>
        <w:t>No general education or learnin</w:t>
      </w:r>
      <w:r w:rsidR="007E41A4">
        <w:t>g support costs will be allowed outside of tutoring special populations.</w:t>
      </w:r>
    </w:p>
    <w:p w:rsidR="00B477FE" w:rsidRPr="004C2588" w:rsidRDefault="00B477FE" w:rsidP="00B477FE">
      <w:pPr>
        <w:numPr>
          <w:ilvl w:val="0"/>
          <w:numId w:val="1"/>
        </w:numPr>
      </w:pPr>
      <w:r w:rsidRPr="004C2588">
        <w:t xml:space="preserve">All non-administrative budget items must be </w:t>
      </w:r>
      <w:r w:rsidR="00824F36">
        <w:t xml:space="preserve">to improve performance on </w:t>
      </w:r>
      <w:r w:rsidRPr="004C2588">
        <w:t>core indicator</w:t>
      </w:r>
      <w:r w:rsidR="00824F36">
        <w:t>s</w:t>
      </w:r>
      <w:r w:rsidRPr="004C2588">
        <w:t>.</w:t>
      </w:r>
    </w:p>
    <w:p w:rsidR="00B477FE" w:rsidRPr="004C2588" w:rsidRDefault="00B477FE" w:rsidP="00B477FE">
      <w:pPr>
        <w:numPr>
          <w:ilvl w:val="0"/>
          <w:numId w:val="1"/>
        </w:numPr>
      </w:pPr>
      <w:r w:rsidRPr="004C2588">
        <w:t xml:space="preserve">Unallowable expenditures </w:t>
      </w:r>
      <w:r w:rsidR="005004D2" w:rsidRPr="004C2588">
        <w:t>include</w:t>
      </w:r>
      <w:r w:rsidR="00CE0F27">
        <w:t xml:space="preserve"> (but are not limited to)</w:t>
      </w:r>
      <w:r w:rsidR="005004D2" w:rsidRPr="004C2588">
        <w:t>:</w:t>
      </w:r>
    </w:p>
    <w:p w:rsidR="00B477FE" w:rsidRDefault="00B477FE" w:rsidP="000E6418">
      <w:pPr>
        <w:numPr>
          <w:ilvl w:val="1"/>
          <w:numId w:val="1"/>
        </w:numPr>
      </w:pPr>
      <w:r w:rsidRPr="004C2588">
        <w:t xml:space="preserve">costs of displays, demonstrations, and </w:t>
      </w:r>
      <w:r w:rsidR="002A07AA" w:rsidRPr="004C2588">
        <w:t>exhibits;</w:t>
      </w:r>
    </w:p>
    <w:p w:rsidR="007E41A4" w:rsidRPr="004C2588" w:rsidRDefault="007E41A4" w:rsidP="000E6418">
      <w:pPr>
        <w:numPr>
          <w:ilvl w:val="1"/>
          <w:numId w:val="1"/>
        </w:numPr>
      </w:pPr>
      <w:r>
        <w:t>food (outside of reimbursements under travel regulations);</w:t>
      </w:r>
    </w:p>
    <w:p w:rsidR="000E6418" w:rsidRPr="004C2588" w:rsidRDefault="000E6418" w:rsidP="000E6418">
      <w:pPr>
        <w:numPr>
          <w:ilvl w:val="1"/>
          <w:numId w:val="1"/>
        </w:numPr>
      </w:pPr>
      <w:r w:rsidRPr="004C2588">
        <w:t>costs of meeting rooms, hospitality suites, and other special facilities used in conjunction with shows and other special events;</w:t>
      </w:r>
    </w:p>
    <w:p w:rsidR="000E6418" w:rsidRPr="004C2588" w:rsidRDefault="000E6418" w:rsidP="000E6418">
      <w:pPr>
        <w:numPr>
          <w:ilvl w:val="1"/>
          <w:numId w:val="1"/>
        </w:numPr>
      </w:pPr>
      <w:r w:rsidRPr="004C2588">
        <w:t>salaries and wages of employees engaged in setting up and displaying exhibits, making demonstrations and providing briefings;</w:t>
      </w:r>
    </w:p>
    <w:p w:rsidR="000E6418" w:rsidRPr="004C2588" w:rsidRDefault="000E6418" w:rsidP="000E6418">
      <w:pPr>
        <w:numPr>
          <w:ilvl w:val="1"/>
          <w:numId w:val="1"/>
        </w:numPr>
      </w:pPr>
      <w:r w:rsidRPr="004C2588">
        <w:t>costs of promotional items and memorabilia, including m</w:t>
      </w:r>
      <w:r w:rsidR="00761DEA" w:rsidRPr="004C2588">
        <w:t>odels, gifts, and souvenirs;</w:t>
      </w:r>
    </w:p>
    <w:p w:rsidR="000E6418" w:rsidRPr="004C2588" w:rsidRDefault="000E6418" w:rsidP="000E6418">
      <w:pPr>
        <w:numPr>
          <w:ilvl w:val="1"/>
          <w:numId w:val="1"/>
        </w:numPr>
      </w:pPr>
      <w:r w:rsidRPr="004C2588">
        <w:t>costs of alcoholic beverages;</w:t>
      </w:r>
    </w:p>
    <w:p w:rsidR="000E6418" w:rsidRPr="004C2588" w:rsidRDefault="000E6418" w:rsidP="000E6418">
      <w:pPr>
        <w:numPr>
          <w:ilvl w:val="1"/>
          <w:numId w:val="1"/>
        </w:numPr>
      </w:pPr>
      <w:r w:rsidRPr="004C2588">
        <w:t>costs of entertainment, including amusement diversion, and social activities and any costs directly associated with such costs (such as tickets to shows or sports events, meals, lodging, rentals, transportation, and gratuities);</w:t>
      </w:r>
    </w:p>
    <w:p w:rsidR="000E6418" w:rsidRPr="004C2588" w:rsidRDefault="000E6418" w:rsidP="000E6418">
      <w:pPr>
        <w:numPr>
          <w:ilvl w:val="1"/>
          <w:numId w:val="1"/>
        </w:numPr>
      </w:pPr>
      <w:r w:rsidRPr="004C2588">
        <w:t>fundraising and investment management cost</w:t>
      </w:r>
      <w:r w:rsidR="004957BF" w:rsidRPr="004C2588">
        <w:t>s</w:t>
      </w:r>
      <w:r w:rsidRPr="004C2588">
        <w:t>;</w:t>
      </w:r>
    </w:p>
    <w:p w:rsidR="000E6418" w:rsidRPr="004C2588" w:rsidRDefault="000E6418" w:rsidP="000E6418">
      <w:pPr>
        <w:numPr>
          <w:ilvl w:val="1"/>
          <w:numId w:val="1"/>
        </w:numPr>
      </w:pPr>
      <w:r w:rsidRPr="004C2588">
        <w:t>individual memberships and sub</w:t>
      </w:r>
      <w:r w:rsidR="004957BF" w:rsidRPr="004C2588">
        <w:t>scriptions  (</w:t>
      </w:r>
      <w:r w:rsidRPr="004C2588">
        <w:t>only institutional memberships and subscriptions are allowed</w:t>
      </w:r>
      <w:r w:rsidR="004957BF" w:rsidRPr="004C2588">
        <w:t>)</w:t>
      </w:r>
      <w:r w:rsidRPr="004C2588">
        <w:t>;</w:t>
      </w:r>
    </w:p>
    <w:p w:rsidR="000E6418" w:rsidRPr="004C2588" w:rsidRDefault="000E6418" w:rsidP="000E6418">
      <w:pPr>
        <w:numPr>
          <w:ilvl w:val="1"/>
          <w:numId w:val="1"/>
        </w:numPr>
      </w:pPr>
      <w:r w:rsidRPr="004C2588">
        <w:t xml:space="preserve">costs of membership in organizations substantially engaged in lobbying; </w:t>
      </w:r>
    </w:p>
    <w:p w:rsidR="000E6418" w:rsidRPr="004C2588" w:rsidRDefault="000E6418" w:rsidP="000E6418">
      <w:pPr>
        <w:numPr>
          <w:ilvl w:val="1"/>
          <w:numId w:val="1"/>
        </w:numPr>
      </w:pPr>
      <w:r w:rsidRPr="004C2588">
        <w:t>accreditation related costs;</w:t>
      </w:r>
    </w:p>
    <w:p w:rsidR="000E6418" w:rsidRDefault="000E6418" w:rsidP="000E6418">
      <w:pPr>
        <w:numPr>
          <w:ilvl w:val="1"/>
          <w:numId w:val="1"/>
        </w:numPr>
      </w:pPr>
      <w:r w:rsidRPr="004C2588">
        <w:t>consumable items</w:t>
      </w:r>
      <w:r w:rsidR="002656CE" w:rsidRPr="004C2588">
        <w:t xml:space="preserve"> not for special populations</w:t>
      </w:r>
      <w:r w:rsidRPr="004C2588">
        <w:t>;</w:t>
      </w:r>
    </w:p>
    <w:p w:rsidR="00F34287" w:rsidRPr="004C2588" w:rsidRDefault="00F34287" w:rsidP="000E6418">
      <w:pPr>
        <w:numPr>
          <w:ilvl w:val="1"/>
          <w:numId w:val="1"/>
        </w:numPr>
      </w:pPr>
      <w:r>
        <w:t>general equipment, including furniture and computers</w:t>
      </w:r>
      <w:r w:rsidR="00AD7E41" w:rsidRPr="002B5FA0">
        <w:t>*</w:t>
      </w:r>
      <w:r>
        <w:t>;</w:t>
      </w:r>
    </w:p>
    <w:p w:rsidR="000E6418" w:rsidRPr="004C2588" w:rsidRDefault="000E6418" w:rsidP="00824F36">
      <w:pPr>
        <w:pStyle w:val="Footer"/>
        <w:numPr>
          <w:ilvl w:val="1"/>
          <w:numId w:val="1"/>
        </w:numPr>
      </w:pPr>
      <w:r w:rsidRPr="004C2588">
        <w:t>recruitment activities</w:t>
      </w:r>
      <w:r w:rsidR="00824F36">
        <w:t xml:space="preserve"> (t</w:t>
      </w:r>
      <w:r w:rsidR="00824F36" w:rsidRPr="004C2588">
        <w:t>his does not preclude encouraging special population students to enter career and technical education</w:t>
      </w:r>
      <w:r w:rsidR="00824F36">
        <w:t>)</w:t>
      </w:r>
      <w:r w:rsidRPr="004C2588">
        <w:t>;</w:t>
      </w:r>
    </w:p>
    <w:p w:rsidR="002656CE" w:rsidRPr="004C2588" w:rsidRDefault="004D4BF5" w:rsidP="002656CE">
      <w:pPr>
        <w:numPr>
          <w:ilvl w:val="1"/>
          <w:numId w:val="1"/>
        </w:numPr>
      </w:pPr>
      <w:r>
        <w:t xml:space="preserve">capital or </w:t>
      </w:r>
      <w:r w:rsidR="005B0FAB" w:rsidRPr="004C2588">
        <w:t>infrastructure costs</w:t>
      </w:r>
      <w:r w:rsidR="005004D2" w:rsidRPr="004C2588">
        <w:t>; and</w:t>
      </w:r>
    </w:p>
    <w:p w:rsidR="005004D2" w:rsidRPr="004C2588" w:rsidRDefault="005004D2" w:rsidP="002656CE">
      <w:pPr>
        <w:numPr>
          <w:ilvl w:val="1"/>
          <w:numId w:val="1"/>
        </w:numPr>
      </w:pPr>
      <w:r w:rsidRPr="004C2588">
        <w:t>place</w:t>
      </w:r>
      <w:r w:rsidR="00F34287">
        <w:t>ment testing for non applicants.</w:t>
      </w:r>
    </w:p>
    <w:p w:rsidR="002656CE" w:rsidRPr="004C2588" w:rsidRDefault="00F34287" w:rsidP="002656CE">
      <w:pPr>
        <w:numPr>
          <w:ilvl w:val="0"/>
          <w:numId w:val="1"/>
        </w:numPr>
      </w:pPr>
      <w:r>
        <w:t>TCSG</w:t>
      </w:r>
      <w:r w:rsidR="00E126F6" w:rsidRPr="004C2588">
        <w:t xml:space="preserve"> does not recommend that colleges add new personnel to their Perkins request.  All personnel must be linked to a </w:t>
      </w:r>
      <w:r w:rsidR="00824F36">
        <w:t>required or allowable use of funds</w:t>
      </w:r>
      <w:r w:rsidR="00E126F6" w:rsidRPr="004C2588">
        <w:t xml:space="preserve"> and provide services directly to students, unless paid out of the 5% administrative cost allowance.  </w:t>
      </w:r>
    </w:p>
    <w:p w:rsidR="00F34287" w:rsidRDefault="005004D2" w:rsidP="00F34287">
      <w:pPr>
        <w:numPr>
          <w:ilvl w:val="0"/>
          <w:numId w:val="1"/>
        </w:numPr>
      </w:pPr>
      <w:r w:rsidRPr="004C2588">
        <w:t>Perkins p</w:t>
      </w:r>
      <w:r w:rsidR="00E126F6" w:rsidRPr="004C2588">
        <w:t xml:space="preserve">ersonnel cannot be used to provide services that are required to </w:t>
      </w:r>
      <w:r w:rsidR="00E76EE2" w:rsidRPr="004C2588">
        <w:t>be made</w:t>
      </w:r>
      <w:r w:rsidR="00E126F6" w:rsidRPr="004C2588">
        <w:t xml:space="preserve"> available under other Federal, State, or local laws.</w:t>
      </w:r>
      <w:r w:rsidRPr="004C2588">
        <w:t xml:space="preserve">  Personnel may not be paid out of federal funds for tasks previously paid out of state/local funds.</w:t>
      </w:r>
    </w:p>
    <w:p w:rsidR="00F34287" w:rsidRPr="004C2588" w:rsidRDefault="00F34287" w:rsidP="00F34287">
      <w:pPr>
        <w:numPr>
          <w:ilvl w:val="0"/>
          <w:numId w:val="1"/>
        </w:numPr>
      </w:pPr>
      <w:r w:rsidRPr="00F34287">
        <w:t>Perkin</w:t>
      </w:r>
      <w:r w:rsidR="00CE0F27">
        <w:t>s</w:t>
      </w:r>
      <w:r w:rsidRPr="00F34287">
        <w:t xml:space="preserve"> paid personnel (in whole or in part) must complete either two Semi-annual Certifications a year, if they had a single cost objective, or monthly Time and Effort Reports.  </w:t>
      </w:r>
      <w:r w:rsidR="00177CF4">
        <w:t xml:space="preserve">This determination (and the subsequent forms) shall take into account all positions/contracts held by the individual at the college.  </w:t>
      </w:r>
      <w:r w:rsidRPr="00F34287">
        <w:t>Time and Effort Reports must be after-the-fact, realistic, and reconciled quarterly.  Variances under 10% quarterly can be adjusted at end-of-year.</w:t>
      </w:r>
    </w:p>
    <w:p w:rsidR="00E126F6" w:rsidRPr="004C2588" w:rsidRDefault="00CE0F27" w:rsidP="007E1AB2">
      <w:pPr>
        <w:numPr>
          <w:ilvl w:val="0"/>
          <w:numId w:val="1"/>
        </w:numPr>
      </w:pPr>
      <w:r>
        <w:br w:type="page"/>
      </w:r>
      <w:r w:rsidR="00E126F6" w:rsidRPr="004C2588">
        <w:lastRenderedPageBreak/>
        <w:t xml:space="preserve">Preferred personnel </w:t>
      </w:r>
      <w:r w:rsidR="00125BA0" w:rsidRPr="004C2588">
        <w:t xml:space="preserve">work directly with students (clearly addressing improvement on the core indicators) and </w:t>
      </w:r>
      <w:r w:rsidR="00E126F6" w:rsidRPr="004C2588">
        <w:t>include the following</w:t>
      </w:r>
      <w:r w:rsidR="005004D2" w:rsidRPr="004C2588">
        <w:t xml:space="preserve"> (notwithstanding #1-</w:t>
      </w:r>
      <w:r w:rsidR="0003274B">
        <w:t>1</w:t>
      </w:r>
      <w:r w:rsidR="00893AE5">
        <w:t>7</w:t>
      </w:r>
      <w:r w:rsidR="005004D2" w:rsidRPr="004C2588">
        <w:t xml:space="preserve"> or any other federal regulations)</w:t>
      </w:r>
      <w:r w:rsidR="00E126F6" w:rsidRPr="004C2588">
        <w:t>:</w:t>
      </w:r>
    </w:p>
    <w:p w:rsidR="00204993" w:rsidRPr="004C2588" w:rsidRDefault="00204993" w:rsidP="007E1AB2">
      <w:pPr>
        <w:ind w:left="720"/>
      </w:pPr>
      <w:r w:rsidRPr="004C2588">
        <w:t>Career Services Coordinators</w:t>
      </w:r>
      <w:r w:rsidR="002656CE" w:rsidRPr="004C2588">
        <w:t xml:space="preserve"> / Career Advisors</w:t>
      </w:r>
    </w:p>
    <w:p w:rsidR="00CF5AE8" w:rsidRPr="004C2588" w:rsidRDefault="00CF5AE8" w:rsidP="007E1AB2">
      <w:pPr>
        <w:ind w:left="720"/>
      </w:pPr>
      <w:r w:rsidRPr="004C2588">
        <w:t>Disability / Special Needs Coordinators</w:t>
      </w:r>
    </w:p>
    <w:p w:rsidR="00CF5AE8" w:rsidRPr="004C2588" w:rsidRDefault="00774A21" w:rsidP="007E1AB2">
      <w:pPr>
        <w:ind w:left="720"/>
      </w:pPr>
      <w:r>
        <w:t>High School Coordinators</w:t>
      </w:r>
    </w:p>
    <w:p w:rsidR="002656CE" w:rsidRPr="004C2588" w:rsidRDefault="002656CE" w:rsidP="007E1AB2">
      <w:pPr>
        <w:ind w:left="720"/>
      </w:pPr>
      <w:r w:rsidRPr="004C2588">
        <w:t>Instructors</w:t>
      </w:r>
      <w:r w:rsidR="005004D2" w:rsidRPr="004C2588">
        <w:t xml:space="preserve"> for new or expanding </w:t>
      </w:r>
      <w:r w:rsidR="00CE0F27">
        <w:t xml:space="preserve">occupationally-specific </w:t>
      </w:r>
      <w:r w:rsidR="005004D2" w:rsidRPr="004C2588">
        <w:t>programs</w:t>
      </w:r>
    </w:p>
    <w:p w:rsidR="00125BA0" w:rsidRPr="004C2588" w:rsidRDefault="00125BA0" w:rsidP="007E1AB2">
      <w:pPr>
        <w:ind w:left="720"/>
      </w:pPr>
      <w:r w:rsidRPr="004C2588">
        <w:t>Interpreters</w:t>
      </w:r>
    </w:p>
    <w:p w:rsidR="00204993" w:rsidRPr="004C2588" w:rsidRDefault="00CF5AE8" w:rsidP="007E1AB2">
      <w:pPr>
        <w:ind w:left="720"/>
      </w:pPr>
      <w:r w:rsidRPr="004C2588">
        <w:t xml:space="preserve">Special Population </w:t>
      </w:r>
      <w:r w:rsidR="00204993" w:rsidRPr="004C2588">
        <w:t>Coordinators</w:t>
      </w:r>
    </w:p>
    <w:p w:rsidR="007E1AB2" w:rsidRPr="004C2588" w:rsidRDefault="00204993" w:rsidP="00E126F6">
      <w:pPr>
        <w:ind w:left="720"/>
      </w:pPr>
      <w:r w:rsidRPr="004C2588">
        <w:t>Retention Specialists</w:t>
      </w:r>
    </w:p>
    <w:p w:rsidR="007E1AB2" w:rsidRPr="004C2588" w:rsidRDefault="00774A21" w:rsidP="006E64B4">
      <w:pPr>
        <w:numPr>
          <w:ilvl w:val="0"/>
          <w:numId w:val="1"/>
        </w:numPr>
      </w:pPr>
      <w:r>
        <w:t>New personnel will be allowed for preferred positions designed to directly improve performance on core indicators, provided that the college does not spend more than 90% of their budget on personnel.</w:t>
      </w:r>
    </w:p>
    <w:p w:rsidR="006E64B4" w:rsidRPr="004C2588" w:rsidRDefault="006E64B4" w:rsidP="006E64B4">
      <w:pPr>
        <w:numPr>
          <w:ilvl w:val="0"/>
          <w:numId w:val="1"/>
        </w:numPr>
      </w:pPr>
      <w:r w:rsidRPr="004C2588">
        <w:t xml:space="preserve">Professional development </w:t>
      </w:r>
      <w:r w:rsidR="004800BE" w:rsidRPr="004C2588">
        <w:t>programs, including initial teacher preparation</w:t>
      </w:r>
      <w:r w:rsidR="00C40870" w:rsidRPr="004C2588">
        <w:t>, for f</w:t>
      </w:r>
      <w:r w:rsidR="004800BE" w:rsidRPr="004C2588">
        <w:t>aculty, administrators, and career guidance and academic</w:t>
      </w:r>
      <w:r w:rsidR="00C40870" w:rsidRPr="004C2588">
        <w:t xml:space="preserve"> counselors, must meet the foll</w:t>
      </w:r>
      <w:r w:rsidR="007E41A4">
        <w:t xml:space="preserve">owing </w:t>
      </w:r>
      <w:bookmarkStart w:id="0" w:name="_GoBack"/>
      <w:bookmarkEnd w:id="0"/>
      <w:r w:rsidR="007E41A4">
        <w:t>guidelines to be fundable:</w:t>
      </w:r>
    </w:p>
    <w:p w:rsidR="004800BE" w:rsidRPr="004C2588" w:rsidRDefault="007E41A4" w:rsidP="005B0FAB">
      <w:pPr>
        <w:numPr>
          <w:ilvl w:val="1"/>
          <w:numId w:val="1"/>
        </w:numPr>
      </w:pPr>
      <w:r>
        <w:t>p</w:t>
      </w:r>
      <w:r w:rsidR="005B0FAB" w:rsidRPr="004C2588">
        <w:t>rovide in-service and pre-service training on effective integration (provided jointly with academic teachers to the extent practicable), teaching skills based on research, practices to improve parental and community involvement; and use of scienti</w:t>
      </w:r>
      <w:r>
        <w:t>fically based research and data;</w:t>
      </w:r>
    </w:p>
    <w:p w:rsidR="005B0FAB" w:rsidRPr="004C2588" w:rsidRDefault="007E41A4" w:rsidP="005B0FAB">
      <w:pPr>
        <w:numPr>
          <w:ilvl w:val="1"/>
          <w:numId w:val="1"/>
        </w:numPr>
      </w:pPr>
      <w:r>
        <w:t>a</w:t>
      </w:r>
      <w:r w:rsidR="005B0FAB" w:rsidRPr="004C2588">
        <w:t xml:space="preserve">re high-quality, sustained, intensive and classroom-focused in order to have an impact on classroom instruction, and are </w:t>
      </w:r>
      <w:r w:rsidR="005B0FAB" w:rsidRPr="004C2588">
        <w:rPr>
          <w:u w:val="single"/>
        </w:rPr>
        <w:t>not one-day or short-term workshops or conferences</w:t>
      </w:r>
      <w:r>
        <w:t>;</w:t>
      </w:r>
    </w:p>
    <w:p w:rsidR="005B0FAB" w:rsidRPr="004C2588" w:rsidRDefault="007E41A4" w:rsidP="005B0FAB">
      <w:pPr>
        <w:numPr>
          <w:ilvl w:val="1"/>
          <w:numId w:val="1"/>
        </w:numPr>
      </w:pPr>
      <w:r>
        <w:t>w</w:t>
      </w:r>
      <w:r w:rsidR="005B0FAB" w:rsidRPr="004C2588">
        <w:t>ill help teachers and personnel</w:t>
      </w:r>
      <w:r>
        <w:t xml:space="preserve"> to improve student achievement;</w:t>
      </w:r>
    </w:p>
    <w:p w:rsidR="005B0FAB" w:rsidRDefault="007E41A4" w:rsidP="005B0FAB">
      <w:pPr>
        <w:numPr>
          <w:ilvl w:val="1"/>
          <w:numId w:val="1"/>
        </w:numPr>
      </w:pPr>
      <w:r>
        <w:t>w</w:t>
      </w:r>
      <w:r w:rsidR="005B0FAB" w:rsidRPr="004C2588">
        <w:t xml:space="preserve">ill ensure that teachers and personnel stay current with the needs, expectations, and methods of industry, can effectively develop rigorous and challenging integrated curricula (jointly with </w:t>
      </w:r>
      <w:r w:rsidR="00C40870" w:rsidRPr="004C2588">
        <w:t>academic</w:t>
      </w:r>
      <w:r w:rsidR="005B0FAB" w:rsidRPr="004C2588">
        <w:t xml:space="preserve"> teachers, to the extent practicable), develop a higher level of academic and industry knowledge and skills, and e</w:t>
      </w:r>
      <w:r>
        <w:t>ffectively use applied learning; and</w:t>
      </w:r>
    </w:p>
    <w:p w:rsidR="007E41A4" w:rsidRDefault="007E41A4" w:rsidP="005B0FAB">
      <w:pPr>
        <w:numPr>
          <w:ilvl w:val="1"/>
          <w:numId w:val="1"/>
        </w:numPr>
      </w:pPr>
      <w:r>
        <w:t>must be necessary for the project.</w:t>
      </w:r>
    </w:p>
    <w:p w:rsidR="004D4BF5" w:rsidRDefault="004D4BF5" w:rsidP="004D4BF5">
      <w:pPr>
        <w:numPr>
          <w:ilvl w:val="0"/>
          <w:numId w:val="1"/>
        </w:numPr>
      </w:pPr>
      <w:r>
        <w:t>Funds, not necessarily from Perkins, must be expended on all 9 Required Uses of Funds.</w:t>
      </w:r>
    </w:p>
    <w:p w:rsidR="00CE0F27" w:rsidRDefault="00CE0F27" w:rsidP="00774A21">
      <w:pPr>
        <w:numPr>
          <w:ilvl w:val="0"/>
          <w:numId w:val="1"/>
        </w:numPr>
      </w:pPr>
      <w:r>
        <w:t>Every college must have a Special Populations Coordinator who serves the needs of special population students.  The college will decide how to staff this initiative.  The state will not mandate the full- or part-time status, number of positions, or source of funding for this initiative.</w:t>
      </w:r>
    </w:p>
    <w:p w:rsidR="00774A21" w:rsidRDefault="00774A21" w:rsidP="00774A21">
      <w:pPr>
        <w:numPr>
          <w:ilvl w:val="0"/>
          <w:numId w:val="1"/>
        </w:numPr>
      </w:pPr>
      <w:r>
        <w:t xml:space="preserve">Every college must have a High School Initiative, including dual enrollment and Programs of Study.  </w:t>
      </w:r>
      <w:r w:rsidR="004D4BF5">
        <w:t xml:space="preserve">The college must have enrollment in at least one of its state-approved Programs of Study.  </w:t>
      </w:r>
      <w:r>
        <w:t>The college will decide how to staff this initiative.  The state will not mandate the full- or part-time status, number of positions, or source of funding for this initiative.</w:t>
      </w:r>
    </w:p>
    <w:p w:rsidR="00774A21" w:rsidRDefault="00774A21" w:rsidP="00774A21">
      <w:pPr>
        <w:numPr>
          <w:ilvl w:val="0"/>
          <w:numId w:val="1"/>
        </w:numPr>
      </w:pPr>
      <w:r>
        <w:t>Colleges receiving rural reserve funds will not need to submit an additional grant application, but will budget for these funds in their Perkins grant submission.  Reserve funds do not have to be spent on the high school initiative.</w:t>
      </w:r>
    </w:p>
    <w:p w:rsidR="00893AE5" w:rsidRDefault="00893AE5" w:rsidP="00774A21">
      <w:pPr>
        <w:numPr>
          <w:ilvl w:val="0"/>
          <w:numId w:val="1"/>
        </w:numPr>
      </w:pPr>
      <w:r>
        <w:t>Colleges must follow the federal Uniform Grant Guidance.</w:t>
      </w:r>
    </w:p>
    <w:p w:rsidR="00E126F6" w:rsidRPr="004C2588" w:rsidRDefault="00E126F6" w:rsidP="00313939">
      <w:pPr>
        <w:ind w:left="720"/>
      </w:pPr>
    </w:p>
    <w:p w:rsidR="00E126F6" w:rsidRPr="002B5FA0" w:rsidRDefault="00AD7E41" w:rsidP="00E126F6">
      <w:r w:rsidRPr="002B5FA0">
        <w:t>*Computers may be purchased for student use in occupational courses.  Please be aware that computers should only be used for their approved purpose and must remain in the area for which they were purchased.  Perkins equipment must be inventoried ann</w:t>
      </w:r>
      <w:r w:rsidR="001F548F">
        <w:t xml:space="preserve">ually and must remain where it </w:t>
      </w:r>
      <w:r w:rsidRPr="002B5FA0">
        <w:t>appears on the college’s inventory.</w:t>
      </w:r>
    </w:p>
    <w:sectPr w:rsidR="00E126F6" w:rsidRPr="002B5FA0" w:rsidSect="00F34287">
      <w:headerReference w:type="default" r:id="rId7"/>
      <w:footerReference w:type="default" r:id="rId8"/>
      <w:pgSz w:w="12240" w:h="15840" w:code="1"/>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C3" w:rsidRDefault="00EB1DC3">
      <w:r>
        <w:separator/>
      </w:r>
    </w:p>
  </w:endnote>
  <w:endnote w:type="continuationSeparator" w:id="0">
    <w:p w:rsidR="00EB1DC3" w:rsidRDefault="00EB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61" w:rsidRDefault="00DD2261" w:rsidP="00DD2261">
    <w:pPr>
      <w:pStyle w:val="Footer"/>
      <w:jc w:val="right"/>
    </w:pPr>
    <w:r>
      <w:t xml:space="preserve">Revised </w:t>
    </w:r>
    <w:r w:rsidR="00464B37">
      <w:t xml:space="preserve">November </w:t>
    </w:r>
    <w:r w:rsidR="001F548F">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C3" w:rsidRDefault="00EB1DC3">
      <w:r>
        <w:separator/>
      </w:r>
    </w:p>
  </w:footnote>
  <w:footnote w:type="continuationSeparator" w:id="0">
    <w:p w:rsidR="00EB1DC3" w:rsidRDefault="00EB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61" w:rsidRDefault="00DD226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60699"/>
    <w:multiLevelType w:val="hybridMultilevel"/>
    <w:tmpl w:val="2A72DACE"/>
    <w:lvl w:ilvl="0" w:tplc="0409000F">
      <w:start w:val="1"/>
      <w:numFmt w:val="decimal"/>
      <w:lvlText w:val="%1."/>
      <w:lvlJc w:val="left"/>
      <w:pPr>
        <w:tabs>
          <w:tab w:val="num" w:pos="720"/>
        </w:tabs>
        <w:ind w:left="720" w:hanging="360"/>
      </w:pPr>
      <w:rPr>
        <w:rFonts w:hint="default"/>
      </w:rPr>
    </w:lvl>
    <w:lvl w:ilvl="1" w:tplc="B7BC4E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A2"/>
    <w:rsid w:val="0003274B"/>
    <w:rsid w:val="0004453D"/>
    <w:rsid w:val="000717EA"/>
    <w:rsid w:val="000E6418"/>
    <w:rsid w:val="000E776B"/>
    <w:rsid w:val="00125BA0"/>
    <w:rsid w:val="00152A1D"/>
    <w:rsid w:val="00171A10"/>
    <w:rsid w:val="00177CF4"/>
    <w:rsid w:val="001B4E93"/>
    <w:rsid w:val="001C51DC"/>
    <w:rsid w:val="001F548F"/>
    <w:rsid w:val="00204993"/>
    <w:rsid w:val="00205430"/>
    <w:rsid w:val="002327ED"/>
    <w:rsid w:val="00257AF5"/>
    <w:rsid w:val="002656CE"/>
    <w:rsid w:val="002A07AA"/>
    <w:rsid w:val="002B5FA0"/>
    <w:rsid w:val="002F6D2D"/>
    <w:rsid w:val="00313939"/>
    <w:rsid w:val="003210F5"/>
    <w:rsid w:val="003A1DAD"/>
    <w:rsid w:val="003B6173"/>
    <w:rsid w:val="003C227E"/>
    <w:rsid w:val="00464B37"/>
    <w:rsid w:val="004800BE"/>
    <w:rsid w:val="004957BF"/>
    <w:rsid w:val="004C2588"/>
    <w:rsid w:val="004C7CCD"/>
    <w:rsid w:val="004D4BF5"/>
    <w:rsid w:val="005004D2"/>
    <w:rsid w:val="00504C11"/>
    <w:rsid w:val="0050667B"/>
    <w:rsid w:val="005B0FAB"/>
    <w:rsid w:val="005B5E85"/>
    <w:rsid w:val="00673EEF"/>
    <w:rsid w:val="0068737C"/>
    <w:rsid w:val="006D1AB0"/>
    <w:rsid w:val="006E64B4"/>
    <w:rsid w:val="00751E09"/>
    <w:rsid w:val="00761DEA"/>
    <w:rsid w:val="00770900"/>
    <w:rsid w:val="00774A21"/>
    <w:rsid w:val="007D33D8"/>
    <w:rsid w:val="007E1AB2"/>
    <w:rsid w:val="007E41A4"/>
    <w:rsid w:val="007E4850"/>
    <w:rsid w:val="008043F5"/>
    <w:rsid w:val="0080642E"/>
    <w:rsid w:val="00824F36"/>
    <w:rsid w:val="00835D42"/>
    <w:rsid w:val="008442A3"/>
    <w:rsid w:val="008665AD"/>
    <w:rsid w:val="00893AE5"/>
    <w:rsid w:val="008C7E5D"/>
    <w:rsid w:val="00911FC1"/>
    <w:rsid w:val="0092286E"/>
    <w:rsid w:val="009876BD"/>
    <w:rsid w:val="00A970C6"/>
    <w:rsid w:val="00AC4784"/>
    <w:rsid w:val="00AD52DF"/>
    <w:rsid w:val="00AD7E41"/>
    <w:rsid w:val="00AF7035"/>
    <w:rsid w:val="00B477FE"/>
    <w:rsid w:val="00B679E5"/>
    <w:rsid w:val="00BB2DC6"/>
    <w:rsid w:val="00BE5227"/>
    <w:rsid w:val="00C1464F"/>
    <w:rsid w:val="00C22969"/>
    <w:rsid w:val="00C40870"/>
    <w:rsid w:val="00C601EC"/>
    <w:rsid w:val="00C666C8"/>
    <w:rsid w:val="00CE0F27"/>
    <w:rsid w:val="00CE3B35"/>
    <w:rsid w:val="00CF5AE8"/>
    <w:rsid w:val="00D37C5D"/>
    <w:rsid w:val="00D40626"/>
    <w:rsid w:val="00D458D9"/>
    <w:rsid w:val="00D6082D"/>
    <w:rsid w:val="00DD2261"/>
    <w:rsid w:val="00DE467B"/>
    <w:rsid w:val="00E126F6"/>
    <w:rsid w:val="00E1514C"/>
    <w:rsid w:val="00E730C7"/>
    <w:rsid w:val="00E74168"/>
    <w:rsid w:val="00E76EE2"/>
    <w:rsid w:val="00EB1DC3"/>
    <w:rsid w:val="00F31306"/>
    <w:rsid w:val="00F34287"/>
    <w:rsid w:val="00FA0B8D"/>
    <w:rsid w:val="00FD55AE"/>
    <w:rsid w:val="00FE52BC"/>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996D5"/>
  <w15:docId w15:val="{4BC9B473-8C1B-4332-AFB2-DD70E767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6EE2"/>
    <w:pPr>
      <w:tabs>
        <w:tab w:val="center" w:pos="4320"/>
        <w:tab w:val="right" w:pos="8640"/>
      </w:tabs>
    </w:pPr>
  </w:style>
  <w:style w:type="paragraph" w:styleId="Footer">
    <w:name w:val="footer"/>
    <w:basedOn w:val="Normal"/>
    <w:rsid w:val="00E76EE2"/>
    <w:pPr>
      <w:tabs>
        <w:tab w:val="center" w:pos="4320"/>
        <w:tab w:val="right" w:pos="8640"/>
      </w:tabs>
    </w:pPr>
  </w:style>
  <w:style w:type="paragraph" w:styleId="BalloonText">
    <w:name w:val="Balloon Text"/>
    <w:basedOn w:val="Normal"/>
    <w:semiHidden/>
    <w:rsid w:val="00804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Federal Perkins Requirements</vt:lpstr>
    </vt:vector>
  </TitlesOfParts>
  <Company>DTAE</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Perkins Requirements</dc:title>
  <dc:creator>khornsby</dc:creator>
  <cp:lastModifiedBy>Rivers, Marquisa</cp:lastModifiedBy>
  <cp:revision>11</cp:revision>
  <cp:lastPrinted>2008-03-10T23:23:00Z</cp:lastPrinted>
  <dcterms:created xsi:type="dcterms:W3CDTF">2014-12-12T16:37:00Z</dcterms:created>
  <dcterms:modified xsi:type="dcterms:W3CDTF">2016-10-25T15:09:00Z</dcterms:modified>
</cp:coreProperties>
</file>